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391BA0" w:rsidRDefault="004570DB">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391BA0" w:rsidRDefault="004570DB">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391BA0" w:rsidRDefault="004570DB">
      <w:pPr>
        <w:numPr>
          <w:ilvl w:val="2"/>
          <w:numId w:val="1"/>
        </w:numPr>
        <w:pBdr>
          <w:top w:val="nil"/>
          <w:left w:val="nil"/>
          <w:bottom w:val="nil"/>
          <w:right w:val="nil"/>
          <w:between w:val="nil"/>
        </w:pBdr>
        <w:tabs>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The Charges:</w:t>
      </w:r>
    </w:p>
    <w:p w14:paraId="00000007"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w:t>
      </w:r>
      <w:r>
        <w:rPr>
          <w:rFonts w:ascii="Arial" w:eastAsia="Arial" w:hAnsi="Arial" w:cs="Arial"/>
          <w:sz w:val="24"/>
          <w:szCs w:val="24"/>
        </w:rPr>
        <w:t>;</w:t>
      </w:r>
    </w:p>
    <w:p w14:paraId="00000009"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14:paraId="0000000A"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w:t>
      </w:r>
      <w:r>
        <w:rPr>
          <w:rFonts w:ascii="Arial" w:eastAsia="Arial" w:hAnsi="Arial" w:cs="Arial"/>
          <w:color w:val="000000"/>
          <w:sz w:val="24"/>
          <w:szCs w:val="24"/>
        </w:rPr>
        <w:t xml:space="preserve"> for altering Framework Prices in accordance with the provisions of this Framework Schedule 3</w:t>
      </w:r>
    </w:p>
    <w:p w14:paraId="0000000B" w14:textId="77777777" w:rsidR="00391BA0" w:rsidRDefault="004570DB">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r>
        <w:rPr>
          <w:rFonts w:ascii="Arial" w:eastAsia="Arial" w:hAnsi="Arial" w:cs="Arial"/>
          <w:sz w:val="24"/>
          <w:szCs w:val="24"/>
        </w:rPr>
        <w:t xml:space="preserve"> The Framework Prices set out in Annex 1 to this Framework Schedule 3 are the maximum the the Supplier may charge pursu</w:t>
      </w:r>
      <w:r>
        <w:rPr>
          <w:rFonts w:ascii="Arial" w:eastAsia="Arial" w:hAnsi="Arial" w:cs="Arial"/>
          <w:sz w:val="24"/>
          <w:szCs w:val="24"/>
        </w:rPr>
        <w:t>ant to any Call Off Agreement except where the provisions of Paragraph 6.1.5 of this Framework Schedule 3 applies  Where the estimated transaction value under a Call Off Agreement falls between the transaction values for which Framework Prices have been qu</w:t>
      </w:r>
      <w:r>
        <w:rPr>
          <w:rFonts w:ascii="Arial" w:eastAsia="Arial" w:hAnsi="Arial" w:cs="Arial"/>
          <w:sz w:val="24"/>
          <w:szCs w:val="24"/>
        </w:rPr>
        <w:t xml:space="preserve">oted, the Framework Price for that Call Off Agreement will be calculated pro rata using the Framework Prices calculated for the upper and lower transaction values for the range in which the estimated transaction value falls. </w:t>
      </w:r>
    </w:p>
    <w:p w14:paraId="0000000D"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sz w:val="24"/>
          <w:szCs w:val="24"/>
        </w:rPr>
      </w:pPr>
      <w:r>
        <w:rPr>
          <w:rFonts w:ascii="Arial" w:eastAsia="Arial" w:hAnsi="Arial" w:cs="Arial"/>
          <w:sz w:val="24"/>
          <w:szCs w:val="24"/>
        </w:rPr>
        <w:t xml:space="preserve">The Supplier acknowledges and </w:t>
      </w:r>
      <w:r>
        <w:rPr>
          <w:rFonts w:ascii="Arial" w:eastAsia="Arial" w:hAnsi="Arial" w:cs="Arial"/>
          <w:sz w:val="24"/>
          <w:szCs w:val="24"/>
        </w:rPr>
        <w:t>agrees that the prices submitted in relation to the further competition held in accordance with Framework Schedule 7 (Call Off Award Procedure) shall be equal to or lower than the Framework Prices except where the provisions of Paragraph 6.1.5 of this  Fra</w:t>
      </w:r>
      <w:r>
        <w:rPr>
          <w:rFonts w:ascii="Arial" w:eastAsia="Arial" w:hAnsi="Arial" w:cs="Arial"/>
          <w:sz w:val="24"/>
          <w:szCs w:val="24"/>
        </w:rPr>
        <w:t>mework Schedule 3 apply.</w:t>
      </w:r>
    </w:p>
    <w:p w14:paraId="0000000E"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sz w:val="24"/>
          <w:szCs w:val="24"/>
        </w:rPr>
      </w:pPr>
      <w:r>
        <w:rPr>
          <w:rFonts w:ascii="Arial" w:eastAsia="Arial" w:hAnsi="Arial" w:cs="Arial"/>
          <w:sz w:val="24"/>
          <w:szCs w:val="24"/>
        </w:rPr>
        <w:t>Framework Prices shall be calculated using the pricing mechanism specified in Annex 1 to this Framework Schedule 3 in relation to the appropriate Lot(s).</w:t>
      </w:r>
    </w:p>
    <w:p w14:paraId="0000000F"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sz w:val="24"/>
          <w:szCs w:val="24"/>
        </w:rPr>
      </w:pPr>
      <w:r>
        <w:rPr>
          <w:rFonts w:ascii="Arial" w:eastAsia="Arial" w:hAnsi="Arial" w:cs="Arial"/>
          <w:sz w:val="24"/>
          <w:szCs w:val="24"/>
        </w:rPr>
        <w:t>The Buyer shall decide which of the charging models set out in Annex 1 for th</w:t>
      </w:r>
      <w:r>
        <w:rPr>
          <w:rFonts w:ascii="Arial" w:eastAsia="Arial" w:hAnsi="Arial" w:cs="Arial"/>
          <w:sz w:val="24"/>
          <w:szCs w:val="24"/>
        </w:rPr>
        <w:t>e relevant Lot shall apply to each Call Off Procedure.</w:t>
      </w:r>
    </w:p>
    <w:p w14:paraId="00000010" w14:textId="77777777" w:rsidR="00391BA0" w:rsidRDefault="004570DB">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color w:val="000000"/>
          <w:sz w:val="24"/>
          <w:szCs w:val="24"/>
        </w:rPr>
        <w:t xml:space="preserve">Are costs and expenses are included in </w:t>
      </w:r>
      <w:bookmarkStart w:id="3" w:name="_GoBack"/>
      <w:bookmarkEnd w:id="3"/>
      <w:r>
        <w:rPr>
          <w:rFonts w:ascii="Arial" w:eastAsia="Arial" w:hAnsi="Arial" w:cs="Arial"/>
          <w:b/>
          <w:color w:val="000000"/>
          <w:sz w:val="24"/>
          <w:szCs w:val="24"/>
        </w:rPr>
        <w:t>the Framework Prices</w:t>
      </w:r>
    </w:p>
    <w:p w14:paraId="00000011"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lastRenderedPageBreak/>
        <w:t>Except as expressly set out in Paragraph 4 below, or otherwise stated in a Call Off Order Form</w:t>
      </w:r>
      <w:r>
        <w:rPr>
          <w:rFonts w:ascii="Arial" w:eastAsia="Arial" w:hAnsi="Arial" w:cs="Arial"/>
          <w:sz w:val="24"/>
          <w:szCs w:val="24"/>
        </w:rPr>
        <w:t>,</w:t>
      </w:r>
      <w:r>
        <w:rPr>
          <w:rFonts w:ascii="Arial" w:eastAsia="Arial" w:hAnsi="Arial" w:cs="Arial"/>
          <w:color w:val="000000"/>
          <w:sz w:val="24"/>
          <w:szCs w:val="24"/>
        </w:rPr>
        <w:t xml:space="preserve"> the Framework Prices shall include all costs </w:t>
      </w:r>
      <w:r>
        <w:rPr>
          <w:rFonts w:ascii="Arial" w:eastAsia="Arial" w:hAnsi="Arial" w:cs="Arial"/>
          <w:color w:val="000000"/>
          <w:sz w:val="24"/>
          <w:szCs w:val="24"/>
        </w:rPr>
        <w:t>and expenses relating to the provision of Deliverables. No further amounts shall be payable in respect of matters such as:</w:t>
      </w:r>
    </w:p>
    <w:p w14:paraId="00000012" w14:textId="77777777" w:rsidR="00391BA0" w:rsidRDefault="004570DB">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3" w14:textId="77777777" w:rsidR="00391BA0" w:rsidRDefault="004570DB">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4" w14:textId="77777777" w:rsidR="00391BA0" w:rsidRDefault="004570DB">
      <w:pPr>
        <w:numPr>
          <w:ilvl w:val="0"/>
          <w:numId w:val="1"/>
        </w:numPr>
        <w:pBdr>
          <w:top w:val="nil"/>
          <w:left w:val="nil"/>
          <w:bottom w:val="nil"/>
          <w:right w:val="nil"/>
          <w:between w:val="nil"/>
        </w:pBdr>
        <w:tabs>
          <w:tab w:val="left" w:pos="1980"/>
        </w:tabs>
        <w:spacing w:before="120" w:after="120" w:line="240" w:lineRule="auto"/>
        <w:rPr>
          <w:sz w:val="24"/>
          <w:szCs w:val="24"/>
        </w:rPr>
      </w:pPr>
      <w:r>
        <w:rPr>
          <w:rFonts w:ascii="Arial" w:eastAsia="Arial" w:hAnsi="Arial" w:cs="Arial"/>
          <w:b/>
          <w:sz w:val="24"/>
          <w:szCs w:val="24"/>
        </w:rPr>
        <w:t>Reimbursable Expenses</w:t>
      </w:r>
    </w:p>
    <w:p w14:paraId="00000015" w14:textId="77777777" w:rsidR="00391BA0" w:rsidRDefault="004570DB">
      <w:pPr>
        <w:numPr>
          <w:ilvl w:val="1"/>
          <w:numId w:val="1"/>
        </w:numPr>
        <w:pBdr>
          <w:top w:val="nil"/>
          <w:left w:val="nil"/>
          <w:bottom w:val="nil"/>
          <w:right w:val="nil"/>
          <w:between w:val="nil"/>
        </w:pBdr>
        <w:tabs>
          <w:tab w:val="left" w:pos="1980"/>
        </w:tabs>
        <w:spacing w:before="120" w:after="120" w:line="240" w:lineRule="auto"/>
        <w:ind w:left="1133" w:hanging="510"/>
        <w:rPr>
          <w:sz w:val="24"/>
          <w:szCs w:val="24"/>
        </w:rPr>
      </w:pPr>
      <w:r>
        <w:rPr>
          <w:rFonts w:ascii="Arial" w:eastAsia="Arial" w:hAnsi="Arial" w:cs="Arial"/>
          <w:sz w:val="24"/>
          <w:szCs w:val="24"/>
        </w:rPr>
        <w:t>The Framework Prices shall be inclusive of all Supplier’s travel and expenses for work carried out in Greater London and/or in the location for performance of the Serv</w:t>
      </w:r>
      <w:r>
        <w:rPr>
          <w:rFonts w:ascii="Arial" w:eastAsia="Arial" w:hAnsi="Arial" w:cs="Arial"/>
          <w:sz w:val="24"/>
          <w:szCs w:val="24"/>
        </w:rPr>
        <w:t xml:space="preserve">ices specified in the relevant Call-Off Agreement. Subject to paragraphs 4.2, 4.3 and 4.4, the Contracting Bodies shall not be liable for Supplier’s travel charges. </w:t>
      </w:r>
    </w:p>
    <w:p w14:paraId="00000016" w14:textId="77777777" w:rsidR="00391BA0" w:rsidRDefault="004570DB">
      <w:pPr>
        <w:numPr>
          <w:ilvl w:val="1"/>
          <w:numId w:val="1"/>
        </w:numPr>
        <w:pBdr>
          <w:top w:val="nil"/>
          <w:left w:val="nil"/>
          <w:bottom w:val="nil"/>
          <w:right w:val="nil"/>
          <w:between w:val="nil"/>
        </w:pBdr>
        <w:tabs>
          <w:tab w:val="left" w:pos="1980"/>
        </w:tabs>
        <w:spacing w:before="120" w:after="120" w:line="240" w:lineRule="auto"/>
        <w:ind w:left="1133" w:hanging="510"/>
        <w:rPr>
          <w:rFonts w:ascii="Arial" w:eastAsia="Arial" w:hAnsi="Arial" w:cs="Arial"/>
          <w:sz w:val="24"/>
          <w:szCs w:val="24"/>
        </w:rPr>
      </w:pPr>
      <w:r>
        <w:rPr>
          <w:rFonts w:ascii="Arial" w:eastAsia="Arial" w:hAnsi="Arial" w:cs="Arial"/>
          <w:sz w:val="24"/>
          <w:szCs w:val="24"/>
        </w:rPr>
        <w:t>In the event that a Contracting Body or Authority requires the Supplier to travel to locat</w:t>
      </w:r>
      <w:r>
        <w:rPr>
          <w:rFonts w:ascii="Arial" w:eastAsia="Arial" w:hAnsi="Arial" w:cs="Arial"/>
          <w:sz w:val="24"/>
          <w:szCs w:val="24"/>
        </w:rPr>
        <w:t>ions other than Greater London and/or the location for performance of the Services specified in the relevant Call-Off Agreement, travel charges incurred by the Supplier shall be subject to the provisions of this paragraph 5.2 as set out below. The Supplier</w:t>
      </w:r>
      <w:r>
        <w:rPr>
          <w:rFonts w:ascii="Arial" w:eastAsia="Arial" w:hAnsi="Arial" w:cs="Arial"/>
          <w:sz w:val="24"/>
          <w:szCs w:val="24"/>
        </w:rPr>
        <w:t xml:space="preserve"> shall: </w:t>
      </w:r>
    </w:p>
    <w:p w14:paraId="00000017"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sz w:val="24"/>
          <w:szCs w:val="24"/>
        </w:rPr>
        <w:t xml:space="preserve">only use public transport, standard class for all travel related to the provision of the Services under this Framework Agreement;  </w:t>
      </w:r>
    </w:p>
    <w:p w14:paraId="00000018"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sz w:val="24"/>
          <w:szCs w:val="24"/>
        </w:rPr>
        <w:t xml:space="preserve">seek prior written approval from the relevant Contracting Bodies or Authority for all travel costs to locations other than Greater London and/or the location as specified in the Letter of Appointment; </w:t>
      </w:r>
    </w:p>
    <w:p w14:paraId="00000019"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sz w:val="24"/>
          <w:szCs w:val="24"/>
        </w:rPr>
        <w:t xml:space="preserve">present to the Contracting Body or Authority evidence </w:t>
      </w:r>
      <w:r>
        <w:rPr>
          <w:rFonts w:ascii="Arial" w:eastAsia="Arial" w:hAnsi="Arial" w:cs="Arial"/>
          <w:sz w:val="24"/>
          <w:szCs w:val="24"/>
        </w:rPr>
        <w:t xml:space="preserve">of expenditure for any public transport charges (for standard class) for travel to locations other than Greater London and/or the location as specified in the Letter of Appointment. </w:t>
      </w:r>
    </w:p>
    <w:p w14:paraId="0000001A" w14:textId="77777777" w:rsidR="00391BA0" w:rsidRDefault="004570DB">
      <w:pPr>
        <w:numPr>
          <w:ilvl w:val="1"/>
          <w:numId w:val="1"/>
        </w:numPr>
        <w:pBdr>
          <w:top w:val="nil"/>
          <w:left w:val="nil"/>
          <w:bottom w:val="nil"/>
          <w:right w:val="nil"/>
          <w:between w:val="nil"/>
        </w:pBdr>
        <w:tabs>
          <w:tab w:val="left" w:pos="1980"/>
        </w:tabs>
        <w:spacing w:before="120" w:after="120" w:line="240" w:lineRule="auto"/>
        <w:ind w:left="1133" w:hanging="510"/>
      </w:pPr>
      <w:r>
        <w:rPr>
          <w:rFonts w:ascii="Arial" w:eastAsia="Arial" w:hAnsi="Arial" w:cs="Arial"/>
          <w:sz w:val="24"/>
          <w:szCs w:val="24"/>
        </w:rPr>
        <w:t>All air travel and taxi expenses shall receive prior written authorisatio</w:t>
      </w:r>
      <w:r>
        <w:rPr>
          <w:rFonts w:ascii="Arial" w:eastAsia="Arial" w:hAnsi="Arial" w:cs="Arial"/>
          <w:sz w:val="24"/>
          <w:szCs w:val="24"/>
        </w:rPr>
        <w:t xml:space="preserve">n from the relevant Contracting Body or Authority in advance of any expenditure and the Supplier shall present to the Contracting Body evidence of expenditure. </w:t>
      </w:r>
    </w:p>
    <w:p w14:paraId="0000001B" w14:textId="77777777" w:rsidR="00391BA0" w:rsidRDefault="004570DB">
      <w:pPr>
        <w:numPr>
          <w:ilvl w:val="1"/>
          <w:numId w:val="1"/>
        </w:numPr>
        <w:pBdr>
          <w:top w:val="nil"/>
          <w:left w:val="nil"/>
          <w:bottom w:val="nil"/>
          <w:right w:val="nil"/>
          <w:between w:val="nil"/>
        </w:pBdr>
        <w:tabs>
          <w:tab w:val="left" w:pos="1980"/>
        </w:tabs>
        <w:spacing w:before="120" w:after="120" w:line="240" w:lineRule="auto"/>
        <w:ind w:left="1133" w:hanging="510"/>
        <w:rPr>
          <w:rFonts w:ascii="Arial" w:eastAsia="Arial" w:hAnsi="Arial" w:cs="Arial"/>
          <w:sz w:val="24"/>
          <w:szCs w:val="24"/>
        </w:rPr>
      </w:pPr>
      <w:r>
        <w:rPr>
          <w:rFonts w:ascii="Arial" w:eastAsia="Arial" w:hAnsi="Arial" w:cs="Arial"/>
          <w:sz w:val="24"/>
          <w:szCs w:val="24"/>
        </w:rPr>
        <w:t>All hotel expenditure shall receive prior written authorisation from the relevant Contracting B</w:t>
      </w:r>
      <w:r>
        <w:rPr>
          <w:rFonts w:ascii="Arial" w:eastAsia="Arial" w:hAnsi="Arial" w:cs="Arial"/>
          <w:sz w:val="24"/>
          <w:szCs w:val="24"/>
        </w:rPr>
        <w:t>ody or Authority in advance of any expenditure and the Supplier shall present to the Contracting Body evidence of agreed hotel expenditure. Charges for hotel accommodation shall be at the Contracting Body’s standard rates, unless otherwise explicitly agree</w:t>
      </w:r>
      <w:r>
        <w:rPr>
          <w:rFonts w:ascii="Arial" w:eastAsia="Arial" w:hAnsi="Arial" w:cs="Arial"/>
          <w:sz w:val="24"/>
          <w:szCs w:val="24"/>
        </w:rPr>
        <w:t>d in advance in writing by the Contracting Body.</w:t>
      </w:r>
    </w:p>
    <w:p w14:paraId="0000001C" w14:textId="77777777" w:rsidR="00391BA0" w:rsidRDefault="004570DB">
      <w:pPr>
        <w:pBdr>
          <w:top w:val="nil"/>
          <w:left w:val="nil"/>
          <w:bottom w:val="nil"/>
          <w:right w:val="nil"/>
          <w:between w:val="nil"/>
        </w:pBdr>
        <w:tabs>
          <w:tab w:val="left" w:pos="1980"/>
        </w:tabs>
        <w:spacing w:before="120" w:after="120" w:line="240" w:lineRule="auto"/>
        <w:ind w:left="360"/>
        <w:rPr>
          <w:rFonts w:ascii="Arial" w:eastAsia="Arial" w:hAnsi="Arial" w:cs="Arial"/>
          <w:b/>
          <w:sz w:val="24"/>
          <w:szCs w:val="24"/>
        </w:rPr>
      </w:pPr>
      <w:r>
        <w:rPr>
          <w:rFonts w:ascii="Arial" w:eastAsia="Arial" w:hAnsi="Arial" w:cs="Arial"/>
          <w:b/>
          <w:sz w:val="24"/>
          <w:szCs w:val="24"/>
        </w:rPr>
        <w:tab/>
        <w:t xml:space="preserve"> </w:t>
      </w:r>
    </w:p>
    <w:p w14:paraId="0000001D" w14:textId="77777777" w:rsidR="00391BA0" w:rsidRDefault="004570DB">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E"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w:t>
      </w:r>
      <w:r>
        <w:rPr>
          <w:rFonts w:ascii="Arial" w:eastAsia="Arial" w:hAnsi="Arial" w:cs="Arial"/>
          <w:sz w:val="24"/>
          <w:szCs w:val="24"/>
        </w:rPr>
        <w:t xml:space="preserve">initial framework period first 2 years </w:t>
      </w:r>
      <w:r>
        <w:rPr>
          <w:rFonts w:ascii="Arial" w:eastAsia="Arial" w:hAnsi="Arial" w:cs="Arial"/>
          <w:color w:val="000000"/>
          <w:sz w:val="24"/>
          <w:szCs w:val="24"/>
        </w:rPr>
        <w:t xml:space="preserve">following the Framework Contract Commencement Date (the date of </w:t>
      </w:r>
      <w:r>
        <w:rPr>
          <w:rFonts w:ascii="Arial" w:eastAsia="Arial" w:hAnsi="Arial" w:cs="Arial"/>
          <w:color w:val="000000"/>
          <w:sz w:val="24"/>
          <w:szCs w:val="24"/>
        </w:rPr>
        <w:lastRenderedPageBreak/>
        <w:t>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F"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w:t>
      </w:r>
      <w:r>
        <w:rPr>
          <w:rFonts w:ascii="Arial" w:eastAsia="Arial" w:hAnsi="Arial" w:cs="Arial"/>
          <w:color w:val="000000"/>
          <w:sz w:val="24"/>
          <w:szCs w:val="24"/>
        </w:rPr>
        <w:t>ate.</w:t>
      </w:r>
    </w:p>
    <w:p w14:paraId="00000020"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21"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22"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23" w14:textId="77777777" w:rsidR="00391BA0" w:rsidRDefault="004570DB">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i/>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24" w14:textId="77777777" w:rsidR="00391BA0" w:rsidRDefault="004570DB">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25" w14:textId="77777777" w:rsidR="00391BA0" w:rsidRDefault="004570DB">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w:t>
      </w:r>
      <w:r>
        <w:rPr>
          <w:rFonts w:ascii="Arial" w:eastAsia="Arial" w:hAnsi="Arial" w:cs="Arial"/>
          <w:color w:val="000000"/>
          <w:sz w:val="24"/>
          <w:szCs w:val="24"/>
        </w:rPr>
        <w:t>ents of the relevant Framework Price;</w:t>
      </w:r>
    </w:p>
    <w:p w14:paraId="00000026" w14:textId="77777777" w:rsidR="00391BA0" w:rsidRDefault="004570DB">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27" w14:textId="77777777" w:rsidR="00391BA0" w:rsidRDefault="004570DB">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w:t>
      </w:r>
      <w:r>
        <w:rPr>
          <w:rFonts w:ascii="Arial" w:eastAsia="Arial" w:hAnsi="Arial" w:cs="Arial"/>
          <w:color w:val="000000"/>
          <w:sz w:val="24"/>
          <w:szCs w:val="24"/>
        </w:rPr>
        <w:t>ying to Framework Prices using the same pricing mechanism as at the Contract Commencement Date.</w:t>
      </w:r>
    </w:p>
    <w:p w14:paraId="00000028"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29"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Where CCS approves an increase then it will</w:t>
      </w:r>
      <w:r>
        <w:rPr>
          <w:rFonts w:ascii="Arial" w:eastAsia="Arial" w:hAnsi="Arial" w:cs="Arial"/>
          <w:color w:val="000000"/>
          <w:sz w:val="24"/>
          <w:szCs w:val="24"/>
        </w:rPr>
        <w:t xml:space="preserve"> be implemented from the first (1st) Working Day following the relevant Review Date or such later date as CCS may determine at its sole discretion and Annex 1 shall be updated accordingly.</w:t>
      </w:r>
    </w:p>
    <w:p w14:paraId="0000002A" w14:textId="77777777" w:rsidR="00391BA0" w:rsidRDefault="004570DB">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2B" w14:textId="77777777" w:rsidR="00391BA0" w:rsidRDefault="004570DB">
      <w:pPr>
        <w:numPr>
          <w:ilvl w:val="1"/>
          <w:numId w:val="1"/>
        </w:numPr>
        <w:pBdr>
          <w:top w:val="nil"/>
          <w:left w:val="nil"/>
          <w:bottom w:val="nil"/>
          <w:right w:val="nil"/>
          <w:between w:val="nil"/>
        </w:pBdr>
        <w:tabs>
          <w:tab w:val="left" w:pos="709"/>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C"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D"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E"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w:t>
      </w:r>
      <w:r>
        <w:rPr>
          <w:rFonts w:ascii="Arial" w:eastAsia="Arial" w:hAnsi="Arial" w:cs="Arial"/>
          <w:color w:val="000000"/>
          <w:sz w:val="24"/>
          <w:szCs w:val="24"/>
        </w:rPr>
        <w:t>l Off Schedule 16 (Benchmarking)]</w:t>
      </w:r>
    </w:p>
    <w:p w14:paraId="0000002F"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14:paraId="00000030" w14:textId="77777777" w:rsidR="00391BA0" w:rsidRDefault="004570D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sz w:val="24"/>
          <w:szCs w:val="24"/>
        </w:rPr>
      </w:pPr>
      <w:r>
        <w:rPr>
          <w:rFonts w:ascii="Arial" w:eastAsia="Arial" w:hAnsi="Arial" w:cs="Arial"/>
          <w:sz w:val="24"/>
          <w:szCs w:val="24"/>
        </w:rPr>
        <w:t xml:space="preserve">A Contracting Body awarding a Call Off Agreement under this Framework through a Further Competition Procedure shall develop a </w:t>
      </w:r>
      <w:r>
        <w:rPr>
          <w:rFonts w:ascii="Arial" w:eastAsia="Arial" w:hAnsi="Arial" w:cs="Arial"/>
          <w:sz w:val="24"/>
          <w:szCs w:val="24"/>
        </w:rPr>
        <w:lastRenderedPageBreak/>
        <w:t>Statements of Requirements which may, at the Contracting Body’s complete discretion, state that because of exceptional circumstanc</w:t>
      </w:r>
      <w:r>
        <w:rPr>
          <w:rFonts w:ascii="Arial" w:eastAsia="Arial" w:hAnsi="Arial" w:cs="Arial"/>
          <w:sz w:val="24"/>
          <w:szCs w:val="24"/>
        </w:rPr>
        <w:t>es relating to those Services, the Contracting Body permits the Framework Suppliers to submit a tender pursuant to paragraph 2 below with higher maximum prices than the Framework Prices. Such exceptional circumstances may include:</w:t>
      </w:r>
    </w:p>
    <w:p w14:paraId="00000031" w14:textId="77777777" w:rsidR="00391BA0" w:rsidRDefault="004570D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t>unusual or extreme time pressure;</w:t>
      </w:r>
    </w:p>
    <w:p w14:paraId="00000032" w14:textId="77777777" w:rsidR="00391BA0" w:rsidRDefault="004570D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t xml:space="preserve">unusual transaction complexity or unusually wide scope – i.e. a transaction which is more complex or has a wider scope than the indicative transaction description for the relevant Lot as set out in in Annex 1 to Framework </w:t>
      </w:r>
      <w:r>
        <w:rPr>
          <w:rFonts w:ascii="Arial" w:eastAsia="Arial" w:hAnsi="Arial" w:cs="Arial"/>
          <w:sz w:val="24"/>
          <w:szCs w:val="24"/>
        </w:rPr>
        <w:t>Schedule 3 (Framework Prices), which was used by the Supplier to assess the Framework Charges; or</w:t>
      </w:r>
    </w:p>
    <w:p w14:paraId="00000033" w14:textId="77777777" w:rsidR="00391BA0" w:rsidRDefault="004570D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t>high project values, above the maximum estimated transaction size for the relevant Lot(s)</w:t>
      </w:r>
    </w:p>
    <w:p w14:paraId="00000034" w14:textId="77777777" w:rsidR="00391BA0" w:rsidRDefault="00391BA0">
      <w:pPr>
        <w:numPr>
          <w:ilvl w:val="0"/>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sectPr w:rsidR="00391BA0">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equalWidth="0">
            <w:col w:w="9360"/>
          </w:cols>
        </w:sectPr>
      </w:pPr>
    </w:p>
    <w:p w14:paraId="00000035" w14:textId="77777777" w:rsidR="00391BA0" w:rsidRDefault="004570DB">
      <w:pPr>
        <w:rPr>
          <w:rFonts w:ascii="Arial" w:eastAsia="Arial" w:hAnsi="Arial" w:cs="Arial"/>
          <w:b/>
          <w:sz w:val="24"/>
          <w:szCs w:val="24"/>
        </w:rPr>
      </w:pPr>
      <w:bookmarkStart w:id="5" w:name="_heading=h.4d34og8" w:colFirst="0" w:colLast="0"/>
      <w:bookmarkEnd w:id="5"/>
      <w:r>
        <w:rPr>
          <w:rFonts w:ascii="Arial" w:eastAsia="Arial" w:hAnsi="Arial" w:cs="Arial"/>
          <w:b/>
          <w:sz w:val="28"/>
          <w:szCs w:val="28"/>
        </w:rPr>
        <w:lastRenderedPageBreak/>
        <w:t xml:space="preserve">Annex 1: Rates and Prices </w:t>
      </w:r>
      <w:r>
        <w:rPr>
          <w:rFonts w:ascii="Arial" w:eastAsia="Arial" w:hAnsi="Arial" w:cs="Arial"/>
          <w:b/>
          <w:sz w:val="24"/>
          <w:szCs w:val="24"/>
        </w:rPr>
        <w:t xml:space="preserve"> </w:t>
      </w:r>
    </w:p>
    <w:p w14:paraId="00000036" w14:textId="77777777" w:rsidR="00391BA0" w:rsidRDefault="004570DB">
      <w:pPr>
        <w:rPr>
          <w:rFonts w:ascii="Arial" w:eastAsia="Arial" w:hAnsi="Arial" w:cs="Arial"/>
          <w:b/>
          <w:sz w:val="24"/>
          <w:szCs w:val="24"/>
        </w:rPr>
      </w:pPr>
      <w:bookmarkStart w:id="6" w:name="_heading=h.fzkl4p8zig53" w:colFirst="0" w:colLast="0"/>
      <w:bookmarkEnd w:id="6"/>
      <w:r>
        <w:rPr>
          <w:rFonts w:ascii="Arial" w:eastAsia="Arial" w:hAnsi="Arial" w:cs="Arial"/>
          <w:b/>
          <w:sz w:val="24"/>
          <w:szCs w:val="24"/>
        </w:rPr>
        <w:t>[Guidance Note: Prior to the commencement of the Framework Agreement, the Authority will incorporate here, the Supplier’s tendered Framework Prices. This will consist of Attachment 9 from the Procurement Documents as completed by the Supplier, with any Lot</w:t>
      </w:r>
      <w:r>
        <w:rPr>
          <w:rFonts w:ascii="Arial" w:eastAsia="Arial" w:hAnsi="Arial" w:cs="Arial"/>
          <w:b/>
          <w:sz w:val="24"/>
          <w:szCs w:val="24"/>
        </w:rPr>
        <w:t>s to which the Supplier has not been admitted deleted, and any other necessary amendments made.]</w:t>
      </w:r>
    </w:p>
    <w:sectPr w:rsidR="00391BA0">
      <w:pgSz w:w="11906" w:h="16838"/>
      <w:pgMar w:top="1888"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2613" w14:textId="77777777" w:rsidR="004570DB" w:rsidRDefault="004570DB">
      <w:pPr>
        <w:spacing w:after="0" w:line="240" w:lineRule="auto"/>
      </w:pPr>
      <w:r>
        <w:separator/>
      </w:r>
    </w:p>
  </w:endnote>
  <w:endnote w:type="continuationSeparator" w:id="0">
    <w:p w14:paraId="6FC5F96B" w14:textId="77777777" w:rsidR="004570DB" w:rsidRDefault="00457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E" w14:textId="570EFDB1" w:rsidR="00391BA0" w:rsidRDefault="004570D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RM6169 Corporate Finance Services</w:t>
    </w:r>
    <w:r w:rsidR="008210F8">
      <w:rPr>
        <w:rFonts w:ascii="Arial" w:eastAsia="Arial" w:hAnsi="Arial" w:cs="Arial"/>
        <w:sz w:val="20"/>
        <w:szCs w:val="20"/>
      </w:rPr>
      <w:t xml:space="preserve"> 2</w:t>
    </w:r>
    <w:r>
      <w:rPr>
        <w:rFonts w:ascii="Arial" w:eastAsia="Arial" w:hAnsi="Arial" w:cs="Arial"/>
        <w:sz w:val="20"/>
        <w:szCs w:val="20"/>
      </w:rPr>
      <w:tab/>
      <w:t xml:space="preserve">                                           </w:t>
    </w:r>
  </w:p>
  <w:p w14:paraId="0000003F" w14:textId="3E8C94C5" w:rsidR="00391BA0" w:rsidRDefault="004570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210F8">
      <w:rPr>
        <w:rFonts w:ascii="Arial" w:eastAsia="Arial" w:hAnsi="Arial" w:cs="Arial"/>
        <w:color w:val="000000"/>
        <w:sz w:val="20"/>
        <w:szCs w:val="20"/>
      </w:rPr>
      <w:fldChar w:fldCharType="separate"/>
    </w:r>
    <w:r w:rsidR="008210F8">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40" w14:textId="77777777" w:rsidR="00391BA0" w:rsidRDefault="004570DB">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B" w14:textId="77777777" w:rsidR="00391BA0" w:rsidRDefault="004570DB">
    <w:pPr>
      <w:tabs>
        <w:tab w:val="center" w:pos="4513"/>
        <w:tab w:val="right" w:pos="9026"/>
      </w:tabs>
      <w:spacing w:after="0"/>
    </w:pPr>
    <w:r>
      <w:t>Framework Ref: RM</w:t>
    </w:r>
    <w:r>
      <w:tab/>
      <w:t xml:space="preserve">                                           </w:t>
    </w:r>
  </w:p>
  <w:p w14:paraId="0000003C" w14:textId="77777777" w:rsidR="00391BA0" w:rsidRDefault="004570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D" w14:textId="77777777" w:rsidR="00391BA0" w:rsidRDefault="004570DB">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0D4A0" w14:textId="77777777" w:rsidR="004570DB" w:rsidRDefault="004570DB">
      <w:pPr>
        <w:spacing w:after="0" w:line="240" w:lineRule="auto"/>
      </w:pPr>
      <w:r>
        <w:separator/>
      </w:r>
    </w:p>
  </w:footnote>
  <w:footnote w:type="continuationSeparator" w:id="0">
    <w:p w14:paraId="4612AE13" w14:textId="77777777" w:rsidR="004570DB" w:rsidRDefault="004570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9" w14:textId="77777777" w:rsidR="00391BA0" w:rsidRDefault="004570D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A" w14:textId="77777777" w:rsidR="00391BA0" w:rsidRDefault="004570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7" w14:textId="77777777" w:rsidR="00391BA0" w:rsidRDefault="004570D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8" w14:textId="77777777" w:rsidR="00391BA0" w:rsidRDefault="004570D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843F97"/>
    <w:multiLevelType w:val="multilevel"/>
    <w:tmpl w:val="741CD924"/>
    <w:lvl w:ilvl="0">
      <w:start w:val="1"/>
      <w:numFmt w:val="decimal"/>
      <w:pStyle w:val="GPSL1CLAUSEHEADING"/>
      <w:lvlText w:val="%1."/>
      <w:lvlJc w:val="left"/>
      <w:pPr>
        <w:ind w:left="360" w:hanging="360"/>
      </w:pPr>
      <w:rPr>
        <w:rFonts w:ascii="Arial" w:eastAsia="Arial" w:hAnsi="Arial" w:cs="Arial"/>
        <w:b w:val="0"/>
        <w:smallCaps w:val="0"/>
        <w:strike w:val="0"/>
        <w:color w:val="000000"/>
        <w:u w:val="none"/>
        <w:vertAlign w:val="baseline"/>
      </w:rPr>
    </w:lvl>
    <w:lvl w:ilvl="1">
      <w:start w:val="1"/>
      <w:numFmt w:val="decimal"/>
      <w:pStyle w:val="GPSL2numberedclause"/>
      <w:lvlText w:val="%1.%2"/>
      <w:lvlJc w:val="left"/>
      <w:pPr>
        <w:ind w:left="644" w:hanging="7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1F13559"/>
    <w:multiLevelType w:val="multilevel"/>
    <w:tmpl w:val="B5D2AA9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BA0"/>
    <w:rsid w:val="00391BA0"/>
    <w:rsid w:val="004570DB"/>
    <w:rsid w:val="008210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2D0C"/>
  <w15:docId w15:val="{8063175E-2252-4D50-92AE-1F0B766B1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cuCDh8mCS8KqX0+J61MEKDO4cA==">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1244</Words>
  <Characters>7093</Characters>
  <Application>Microsoft Office Word</Application>
  <DocSecurity>0</DocSecurity>
  <Lines>59</Lines>
  <Paragraphs>16</Paragraphs>
  <ScaleCrop>false</ScaleCrop>
  <Company>Cabinet Office</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Racheal Idowu</cp:lastModifiedBy>
  <cp:revision>2</cp:revision>
  <dcterms:created xsi:type="dcterms:W3CDTF">2018-06-14T15:09:00Z</dcterms:created>
  <dcterms:modified xsi:type="dcterms:W3CDTF">2019-12-10T15:38:00Z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